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43" w:rsidRPr="005C0F43" w:rsidRDefault="005C0F43" w:rsidP="005C0F43">
      <w:pPr>
        <w:shd w:val="clear" w:color="auto" w:fill="FFFFFF"/>
        <w:spacing w:line="240" w:lineRule="auto"/>
        <w:jc w:val="center"/>
        <w:rPr>
          <w:rFonts w:ascii="Arial" w:eastAsia="Times New Roman" w:hAnsi="Arial" w:cs="Arial"/>
          <w:color w:val="000000"/>
          <w:sz w:val="18"/>
          <w:szCs w:val="18"/>
          <w:lang w:eastAsia="es-CO"/>
        </w:rPr>
      </w:pPr>
      <w:r w:rsidRPr="005C0F43">
        <w:rPr>
          <w:rFonts w:ascii="Segoe UI" w:eastAsia="Times New Roman" w:hAnsi="Segoe UI" w:cs="Segoe UI"/>
          <w:b/>
          <w:bCs/>
          <w:color w:val="0000FF"/>
          <w:sz w:val="28"/>
          <w:szCs w:val="28"/>
          <w:lang w:eastAsia="es-CO"/>
        </w:rPr>
        <w:t>OFICIO Nº 1403 [014702]</w:t>
      </w:r>
    </w:p>
    <w:p w:rsidR="005C0F43" w:rsidRPr="005C0F43" w:rsidRDefault="005C0F43" w:rsidP="005C0F43">
      <w:pPr>
        <w:shd w:val="clear" w:color="auto" w:fill="FFFFFF"/>
        <w:spacing w:line="240" w:lineRule="auto"/>
        <w:jc w:val="center"/>
        <w:rPr>
          <w:rFonts w:ascii="Arial" w:eastAsia="Times New Roman" w:hAnsi="Arial" w:cs="Arial"/>
          <w:color w:val="000000"/>
          <w:sz w:val="18"/>
          <w:szCs w:val="18"/>
          <w:lang w:eastAsia="es-CO"/>
        </w:rPr>
      </w:pPr>
      <w:r w:rsidRPr="005C0F43">
        <w:rPr>
          <w:rFonts w:ascii="Segoe UI" w:eastAsia="Times New Roman" w:hAnsi="Segoe UI" w:cs="Segoe UI"/>
          <w:b/>
          <w:bCs/>
          <w:color w:val="0000FF"/>
          <w:sz w:val="28"/>
          <w:szCs w:val="28"/>
          <w:lang w:eastAsia="es-CO"/>
        </w:rPr>
        <w:t>07-06-2019</w:t>
      </w:r>
    </w:p>
    <w:p w:rsidR="005C0F43" w:rsidRPr="005C0F43" w:rsidRDefault="005C0F43" w:rsidP="005C0F43">
      <w:pPr>
        <w:shd w:val="clear" w:color="auto" w:fill="FFFFFF"/>
        <w:spacing w:line="240" w:lineRule="auto"/>
        <w:jc w:val="center"/>
        <w:rPr>
          <w:rFonts w:ascii="Arial" w:eastAsia="Times New Roman" w:hAnsi="Arial" w:cs="Arial"/>
          <w:color w:val="000000"/>
          <w:sz w:val="18"/>
          <w:szCs w:val="18"/>
          <w:lang w:eastAsia="es-CO"/>
        </w:rPr>
      </w:pPr>
      <w:r w:rsidRPr="005C0F43">
        <w:rPr>
          <w:rFonts w:ascii="Segoe UI" w:eastAsia="Times New Roman" w:hAnsi="Segoe UI" w:cs="Segoe UI"/>
          <w:b/>
          <w:bCs/>
          <w:color w:val="0000FF"/>
          <w:sz w:val="28"/>
          <w:szCs w:val="28"/>
          <w:lang w:eastAsia="es-CO"/>
        </w:rPr>
        <w:t>DIAN</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b/>
          <w:bCs/>
          <w:color w:val="0000FF"/>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b/>
          <w:bCs/>
          <w:color w:val="0000FF"/>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Subdirección de Gestión Normativa y Doctrina</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100208221 – 001403</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Bogotá, D.C.</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proofErr w:type="spellStart"/>
      <w:r w:rsidRPr="005C0F43">
        <w:rPr>
          <w:rFonts w:ascii="Segoe UI" w:eastAsia="Times New Roman" w:hAnsi="Segoe UI" w:cs="Segoe UI"/>
          <w:b/>
          <w:bCs/>
          <w:color w:val="000000"/>
          <w:sz w:val="18"/>
          <w:szCs w:val="18"/>
          <w:lang w:eastAsia="es-CO"/>
        </w:rPr>
        <w:t>Ref</w:t>
      </w:r>
      <w:proofErr w:type="spellEnd"/>
      <w:r w:rsidRPr="005C0F43">
        <w:rPr>
          <w:rFonts w:ascii="Segoe UI" w:eastAsia="Times New Roman" w:hAnsi="Segoe UI" w:cs="Segoe UI"/>
          <w:b/>
          <w:bCs/>
          <w:color w:val="000000"/>
          <w:sz w:val="18"/>
          <w:szCs w:val="18"/>
          <w:lang w:eastAsia="es-CO"/>
        </w:rPr>
        <w:t>: </w:t>
      </w:r>
      <w:r w:rsidRPr="005C0F43">
        <w:rPr>
          <w:rFonts w:ascii="Segoe UI" w:eastAsia="Times New Roman" w:hAnsi="Segoe UI" w:cs="Segoe UI"/>
          <w:color w:val="000000"/>
          <w:sz w:val="18"/>
          <w:szCs w:val="18"/>
          <w:lang w:eastAsia="es-CO"/>
        </w:rPr>
        <w:t>Radicado 100027428 del 29/04/2019</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2"/>
        <w:gridCol w:w="272"/>
        <w:gridCol w:w="4132"/>
      </w:tblGrid>
      <w:tr w:rsidR="005C0F43" w:rsidRPr="005C0F43" w:rsidTr="005C0F43">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sz w:val="20"/>
                <w:szCs w:val="20"/>
                <w:lang w:eastAsia="es-CO"/>
              </w:rPr>
              <w:t>Impuesto sobre la Renta y Complementarios</w:t>
            </w:r>
          </w:p>
        </w:tc>
      </w:tr>
      <w:tr w:rsidR="005C0F43" w:rsidRPr="005C0F43" w:rsidTr="005C0F43">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sz w:val="20"/>
                <w:szCs w:val="20"/>
                <w:lang w:eastAsia="es-CO"/>
              </w:rPr>
              <w:t>Leasing Sistema Operativo</w:t>
            </w:r>
          </w:p>
        </w:tc>
      </w:tr>
      <w:tr w:rsidR="005C0F43" w:rsidRPr="005C0F43" w:rsidTr="005C0F43">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r w:rsidRPr="005C0F43">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0F43" w:rsidRPr="005C0F43" w:rsidRDefault="005C0F43" w:rsidP="005C0F43">
            <w:pPr>
              <w:spacing w:line="240" w:lineRule="auto"/>
              <w:rPr>
                <w:rFonts w:ascii="Arial" w:eastAsia="Times New Roman" w:hAnsi="Arial" w:cs="Arial"/>
                <w:szCs w:val="24"/>
                <w:lang w:eastAsia="es-CO"/>
              </w:rPr>
            </w:pPr>
            <w:hyperlink r:id="rId4" w:tooltip="Estatuto Tributario CETA" w:history="1">
              <w:r w:rsidRPr="005C0F43">
                <w:rPr>
                  <w:rFonts w:ascii="Segoe UI" w:eastAsia="Times New Roman" w:hAnsi="Segoe UI" w:cs="Segoe UI"/>
                  <w:color w:val="0089E1"/>
                  <w:sz w:val="20"/>
                  <w:szCs w:val="20"/>
                  <w:u w:val="single"/>
                  <w:lang w:eastAsia="es-CO"/>
                </w:rPr>
                <w:t>Artículo 90</w:t>
              </w:r>
            </w:hyperlink>
            <w:r w:rsidRPr="005C0F43">
              <w:rPr>
                <w:rFonts w:ascii="Segoe UI" w:eastAsia="Times New Roman" w:hAnsi="Segoe UI" w:cs="Segoe UI"/>
                <w:sz w:val="20"/>
                <w:szCs w:val="20"/>
                <w:lang w:eastAsia="es-CO"/>
              </w:rPr>
              <w:t> del Estatuto Tributario</w:t>
            </w:r>
          </w:p>
          <w:p w:rsidR="005C0F43" w:rsidRPr="005C0F43" w:rsidRDefault="005C0F43" w:rsidP="005C0F43">
            <w:pPr>
              <w:spacing w:line="240" w:lineRule="auto"/>
              <w:rPr>
                <w:rFonts w:ascii="Arial" w:eastAsia="Times New Roman" w:hAnsi="Arial" w:cs="Arial"/>
                <w:szCs w:val="24"/>
                <w:lang w:eastAsia="es-CO"/>
              </w:rPr>
            </w:pPr>
            <w:hyperlink r:id="rId5" w:tooltip="Estatuto Tributario CETA" w:history="1">
              <w:r w:rsidRPr="005C0F43">
                <w:rPr>
                  <w:rFonts w:ascii="Segoe UI" w:eastAsia="Times New Roman" w:hAnsi="Segoe UI" w:cs="Segoe UI"/>
                  <w:color w:val="0089E1"/>
                  <w:sz w:val="20"/>
                  <w:szCs w:val="20"/>
                  <w:u w:val="single"/>
                  <w:lang w:eastAsia="es-CO"/>
                </w:rPr>
                <w:t>Artículo 127-1</w:t>
              </w:r>
            </w:hyperlink>
            <w:r w:rsidRPr="005C0F43">
              <w:rPr>
                <w:rFonts w:ascii="Segoe UI" w:eastAsia="Times New Roman" w:hAnsi="Segoe UI" w:cs="Segoe UI"/>
                <w:sz w:val="20"/>
                <w:szCs w:val="20"/>
                <w:lang w:eastAsia="es-CO"/>
              </w:rPr>
              <w:t> del Estatuto Tributario</w:t>
            </w:r>
          </w:p>
        </w:tc>
      </w:tr>
    </w:tbl>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Estimado señor Solanilla:</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Mediante escrito radicado 100027428 del 29 de abril de dos mil diecinueve (2019) esta Subdirección recibió una consulta por medio de la cual se solicita resolver, lo siguiente:</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“¿Hay lugar por parte de las autoridades fiscales, desde el punto de vista del derecho tributario a presumir un valor a la cesión del derecho de opción de compra distinto al pactado entre las partes, cuando el locatario cede el derecho de opción de compra a un tercero, por el mismo valor a que tiene derecho el locatario en el contrato leasing, derecho que se origina en un contrato de leasing financiero sobre un bien inmueble o mueble, celebrado con fecha anterior al 1 de enero de 2012, cuyo tratamiento fiscal ha sido el de leasing operativo?”</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En atención a la consulta, se procede a analizar las siguientes consideraciones tributarias:</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1. El </w:t>
      </w:r>
      <w:hyperlink r:id="rId6" w:tooltip="Estatuto Tributario CETA" w:history="1">
        <w:r w:rsidRPr="005C0F43">
          <w:rPr>
            <w:rFonts w:ascii="Segoe UI" w:eastAsia="Times New Roman" w:hAnsi="Segoe UI" w:cs="Segoe UI"/>
            <w:color w:val="0089E1"/>
            <w:sz w:val="18"/>
            <w:szCs w:val="18"/>
            <w:u w:val="single"/>
            <w:lang w:eastAsia="es-CO"/>
          </w:rPr>
          <w:t>artículo 127-1</w:t>
        </w:r>
      </w:hyperlink>
      <w:r w:rsidRPr="005C0F43">
        <w:rPr>
          <w:rFonts w:ascii="Segoe UI" w:eastAsia="Times New Roman" w:hAnsi="Segoe UI" w:cs="Segoe UI"/>
          <w:color w:val="000000"/>
          <w:sz w:val="18"/>
          <w:szCs w:val="18"/>
          <w:lang w:eastAsia="es-CO"/>
        </w:rPr>
        <w:t> del Estatuto Tributario (“</w:t>
      </w:r>
      <w:r w:rsidRPr="005C0F43">
        <w:rPr>
          <w:rFonts w:ascii="Segoe UI" w:eastAsia="Times New Roman" w:hAnsi="Segoe UI" w:cs="Segoe UI"/>
          <w:color w:val="000000"/>
          <w:sz w:val="18"/>
          <w:szCs w:val="18"/>
          <w:u w:val="single"/>
          <w:lang w:eastAsia="es-CO"/>
        </w:rPr>
        <w:t>E.T.</w:t>
      </w:r>
      <w:r w:rsidRPr="005C0F43">
        <w:rPr>
          <w:rFonts w:ascii="Segoe UI" w:eastAsia="Times New Roman" w:hAnsi="Segoe UI" w:cs="Segoe UI"/>
          <w:color w:val="000000"/>
          <w:sz w:val="18"/>
          <w:szCs w:val="18"/>
          <w:lang w:eastAsia="es-CO"/>
        </w:rPr>
        <w:t>”) antes de la entrada en vigencia de la Ley 1819 de 2016 establecía, para efectos del impuesto sobre la renta y complementarios, un tratamiento diferenciado entre el arrendamiento financiero y el arrendamiento operativo.</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2. El arrendamiento operativo suponía que el arrendador registrara como un gasto deducible la totalidad del canon de arrendamiento causado, sin tener que registrar en su activo o su pasivo, suma alguna por concepto del bien objeto de arriendo.</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3. Por su lado, el arrendamiento financiero suponía que:</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“a) Al inicio del contrato, </w:t>
      </w:r>
      <w:r w:rsidRPr="005C0F43">
        <w:rPr>
          <w:rFonts w:ascii="Segoe UI" w:eastAsia="Times New Roman" w:hAnsi="Segoe UI" w:cs="Segoe UI"/>
          <w:i/>
          <w:iCs/>
          <w:color w:val="000000"/>
          <w:sz w:val="18"/>
          <w:szCs w:val="18"/>
          <w:u w:val="single"/>
          <w:lang w:eastAsia="es-CO"/>
        </w:rPr>
        <w:t>el arrendatario deberá registrar un activo y un pasivo por el valor total del bien objeto de arrendamiento. Esto es, por una suma igual al valor presente de los cánones y opciones de compra pactados, calculado a la fecha de iniciación del contrato, y a la tasa pactada en el mismo</w:t>
      </w:r>
      <w:r w:rsidRPr="005C0F43">
        <w:rPr>
          <w:rFonts w:ascii="Segoe UI" w:eastAsia="Times New Roman" w:hAnsi="Segoe UI" w:cs="Segoe UI"/>
          <w:i/>
          <w:iCs/>
          <w:color w:val="000000"/>
          <w:sz w:val="18"/>
          <w:szCs w:val="18"/>
          <w:lang w:eastAsia="es-CO"/>
        </w:rPr>
        <w:t>. La suma registrada como pasivo por el arrendatario, debe coincidir con la registrada por el arrendador como activo monetario, en la cuenta de bienes dados en leasing. En el evento de que el arrendatario vaya a hacer uso del descuento del impuesto a las ventas previsto en el </w:t>
      </w:r>
      <w:hyperlink r:id="rId7" w:tooltip="Estatuto Tributario CETA" w:history="1">
        <w:r w:rsidRPr="005C0F43">
          <w:rPr>
            <w:rFonts w:ascii="Segoe UI" w:eastAsia="Times New Roman" w:hAnsi="Segoe UI" w:cs="Segoe UI"/>
            <w:i/>
            <w:iCs/>
            <w:color w:val="0089E1"/>
            <w:sz w:val="18"/>
            <w:szCs w:val="18"/>
            <w:u w:val="single"/>
            <w:lang w:eastAsia="es-CO"/>
          </w:rPr>
          <w:t>artículo 258-1</w:t>
        </w:r>
      </w:hyperlink>
      <w:r w:rsidRPr="005C0F43">
        <w:rPr>
          <w:rFonts w:ascii="Segoe UI" w:eastAsia="Times New Roman" w:hAnsi="Segoe UI" w:cs="Segoe UI"/>
          <w:i/>
          <w:iCs/>
          <w:color w:val="000000"/>
          <w:sz w:val="18"/>
          <w:szCs w:val="18"/>
          <w:lang w:eastAsia="es-CO"/>
        </w:rPr>
        <w:t> del Estatuto Tributario, deberá reclasificar el activo en tal monto, para registrar el impuesto a las ventas a descontar como un anticipo del impuesto de renta;</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xml:space="preserve">b) El valor registrado en el activo por el arrendatario, salvo la parte que corresponda al impuesto a las ventas que vaya a ser descontado, tendrá la naturaleza de activo no monetario, sometido a ajustes por inflación. En el caso de que el bien objeto de arrendamiento financiero sea un activo depreciable o amortizable, el activo no monetario registrado por el arrendatario se depreciará o amortizará, utilizando las mismas reglas y normas que </w:t>
      </w:r>
      <w:r w:rsidRPr="005C0F43">
        <w:rPr>
          <w:rFonts w:ascii="Segoe UI" w:eastAsia="Times New Roman" w:hAnsi="Segoe UI" w:cs="Segoe UI"/>
          <w:i/>
          <w:iCs/>
          <w:color w:val="000000"/>
          <w:sz w:val="18"/>
          <w:szCs w:val="18"/>
          <w:lang w:eastAsia="es-CO"/>
        </w:rPr>
        <w:lastRenderedPageBreak/>
        <w:t>se aplicarían si el bien arrendado fuera de su propiedad, es decir, teniendo en cuenta la vida útil del bien arrendado. En el caso de que el bien arrendado sea un activo no depreciable o no amortizable, el arrendatario no podrá depreciar el activo no monetario registrado en su contabilidad;</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c) </w:t>
      </w:r>
      <w:r w:rsidRPr="005C0F43">
        <w:rPr>
          <w:rFonts w:ascii="Segoe UI" w:eastAsia="Times New Roman" w:hAnsi="Segoe UI" w:cs="Segoe UI"/>
          <w:i/>
          <w:iCs/>
          <w:color w:val="000000"/>
          <w:sz w:val="18"/>
          <w:szCs w:val="18"/>
          <w:u w:val="single"/>
          <w:lang w:eastAsia="es-CO"/>
        </w:rPr>
        <w:t>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este. La parte de cada canon correspondiente a intereses o costo financiero, será un gasto deducible para arrendatario</w:t>
      </w:r>
      <w:r w:rsidRPr="005C0F43">
        <w:rPr>
          <w:rFonts w:ascii="Segoe UI" w:eastAsia="Times New Roman" w:hAnsi="Segoe UI" w:cs="Segoe UI"/>
          <w:i/>
          <w:iCs/>
          <w:color w:val="000000"/>
          <w:sz w:val="18"/>
          <w:szCs w:val="18"/>
          <w:lang w:eastAsia="es-CO"/>
        </w:rPr>
        <w:t>.</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Para los efectos de este literal, el contrato debe estipular, tanto el valor del bien en el momento de su celebración, incluyendo el impuesto sobre las ventas, como la parte del valor de los cánones periódicos pactados que corresponde a cada uno de los conceptos de financiación y amortización de capital;</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d) Al momento de ejercer la opción de compra, el valor pactado para tal fin se cargará contra el pasivo del arrendatario, debiendo quedar este en ceros. Cualquier diferencia se ajustará contra los resultados del ejercicio. En el evento de que el arrendatario no ejerza la opción de compra, se efectuarán los ajustes en su renta y patrimonio, deduciendo en la declaración de renta del año en que haya finalizado el contrato, la totalidad del saldo por depreciar del activo no monetario registrado por el arrendatario. Por su parte, el arrendador hará los ajustes del caso, y</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e) Los valores determinados de acuerdo con los literales anteriores, serán utilizados por el arrendatario para: declarar el valor patrimonial del activo; realizar el cálculo de la depreciación, cuando ella sea procedente; aplicar los ajustes por inflación; determinar el saldo del pasivo y su amortización; y, calcular el monto de los costos financieros deducibles.”</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xml:space="preserve">4. De lo anterior, es posible reconocer </w:t>
      </w:r>
      <w:proofErr w:type="gramStart"/>
      <w:r w:rsidRPr="005C0F43">
        <w:rPr>
          <w:rFonts w:ascii="Segoe UI" w:eastAsia="Times New Roman" w:hAnsi="Segoe UI" w:cs="Segoe UI"/>
          <w:color w:val="000000"/>
          <w:sz w:val="18"/>
          <w:szCs w:val="18"/>
          <w:lang w:eastAsia="es-CO"/>
        </w:rPr>
        <w:t>que</w:t>
      </w:r>
      <w:proofErr w:type="gramEnd"/>
      <w:r w:rsidRPr="005C0F43">
        <w:rPr>
          <w:rFonts w:ascii="Segoe UI" w:eastAsia="Times New Roman" w:hAnsi="Segoe UI" w:cs="Segoe UI"/>
          <w:color w:val="000000"/>
          <w:sz w:val="18"/>
          <w:szCs w:val="18"/>
          <w:lang w:eastAsia="es-CO"/>
        </w:rPr>
        <w:t xml:space="preserve"> en el caso del arrendamiento operativo, a diferencia del arrendamiento financiero, no hay lugar a la opción de compra, ya que en esta modalidad los cánones asumidos por el arrendatario corresponden a gastos deducibles sin que haya lugar a registrar en su activo o su pasivo, suma alguna por concepto del bien objeto de arriendo.</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5. En esta medida, en el arrendamiento operativo, el arrendatario que quiera ejercer una supuesta opción de compra sobre el bien objeto del arrendamiento operativo deberá aplicar lo establecido en el </w:t>
      </w:r>
      <w:hyperlink r:id="rId8" w:tooltip="Estatuto Tributario CETA" w:history="1">
        <w:r w:rsidRPr="005C0F43">
          <w:rPr>
            <w:rFonts w:ascii="Segoe UI" w:eastAsia="Times New Roman" w:hAnsi="Segoe UI" w:cs="Segoe UI"/>
            <w:color w:val="0089E1"/>
            <w:sz w:val="18"/>
            <w:szCs w:val="18"/>
            <w:u w:val="single"/>
            <w:lang w:eastAsia="es-CO"/>
          </w:rPr>
          <w:t>artículo 90</w:t>
        </w:r>
      </w:hyperlink>
      <w:r w:rsidRPr="005C0F43">
        <w:rPr>
          <w:rFonts w:ascii="Segoe UI" w:eastAsia="Times New Roman" w:hAnsi="Segoe UI" w:cs="Segoe UI"/>
          <w:color w:val="000000"/>
          <w:sz w:val="18"/>
          <w:szCs w:val="18"/>
          <w:lang w:eastAsia="es-CO"/>
        </w:rPr>
        <w:t> del E.T. para determinar el precio de enajenación del bien respectivo.</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6. Es necesario recordar que el </w:t>
      </w:r>
      <w:hyperlink r:id="rId9" w:tooltip="Estatuto Tributario CETA" w:history="1">
        <w:r w:rsidRPr="005C0F43">
          <w:rPr>
            <w:rFonts w:ascii="Segoe UI" w:eastAsia="Times New Roman" w:hAnsi="Segoe UI" w:cs="Segoe UI"/>
            <w:color w:val="0089E1"/>
            <w:sz w:val="18"/>
            <w:szCs w:val="18"/>
            <w:u w:val="single"/>
            <w:lang w:eastAsia="es-CO"/>
          </w:rPr>
          <w:t>artículo 90</w:t>
        </w:r>
      </w:hyperlink>
      <w:r w:rsidRPr="005C0F43">
        <w:rPr>
          <w:rFonts w:ascii="Segoe UI" w:eastAsia="Times New Roman" w:hAnsi="Segoe UI" w:cs="Segoe UI"/>
          <w:color w:val="000000"/>
          <w:sz w:val="18"/>
          <w:szCs w:val="18"/>
          <w:lang w:eastAsia="es-CO"/>
        </w:rPr>
        <w:t> del E.T., modificado por el artículo 53 de la Ley 1943 de 2018, establece que:</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“La renta bruta o la pérdida proveniente de la enajenación de activos a cualquier título, esta´ constituida por la diferencia entre el precio de la enajenación y el costo del activo o activos enajenados.</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xml:space="preserve">Cuando se trate de activos fijos </w:t>
      </w:r>
      <w:proofErr w:type="spellStart"/>
      <w:r w:rsidRPr="005C0F43">
        <w:rPr>
          <w:rFonts w:ascii="Segoe UI" w:eastAsia="Times New Roman" w:hAnsi="Segoe UI" w:cs="Segoe UI"/>
          <w:i/>
          <w:iCs/>
          <w:color w:val="000000"/>
          <w:sz w:val="18"/>
          <w:szCs w:val="18"/>
          <w:lang w:eastAsia="es-CO"/>
        </w:rPr>
        <w:t>depreciabies</w:t>
      </w:r>
      <w:proofErr w:type="spellEnd"/>
      <w:r w:rsidRPr="005C0F43">
        <w:rPr>
          <w:rFonts w:ascii="Segoe UI" w:eastAsia="Times New Roman" w:hAnsi="Segoe UI" w:cs="Segoe UI"/>
          <w:i/>
          <w:iCs/>
          <w:color w:val="000000"/>
          <w:sz w:val="18"/>
          <w:szCs w:val="18"/>
          <w:lang w:eastAsia="es-CO"/>
        </w:rPr>
        <w:t>, (sic) la utilidad que resulta al momento de la enajenación deberá imputarse, en primer término, a la renta líquida por recuperación de deducciones, depreciaciones o amortizaciones; el saldo de la utilidad constituye renta o ganancia ocasional, según el caso.</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u w:val="single"/>
          <w:lang w:eastAsia="es-CO"/>
        </w:rPr>
        <w:t>El precio de la enajenación es el valor comercial realizado en dinero o en especie. Para estos efectos será parte del precio el valor comercial de las especies recibidas</w:t>
      </w:r>
      <w:r w:rsidRPr="005C0F43">
        <w:rPr>
          <w:rFonts w:ascii="Segoe UI" w:eastAsia="Times New Roman" w:hAnsi="Segoe UI" w:cs="Segoe UI"/>
          <w:i/>
          <w:iCs/>
          <w:color w:val="000000"/>
          <w:sz w:val="18"/>
          <w:szCs w:val="18"/>
          <w:lang w:eastAsia="es-CO"/>
        </w:rPr>
        <w:t>.</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u w:val="single"/>
          <w:lang w:eastAsia="es-CO"/>
        </w:rPr>
        <w:t>Se tiene por valor comercial el señalado por las partes, el cual deberá corresponder al precio comercial promedio para bienes de la misma especie, en la fecha de su enajenación. Esta previsión también resulta aplicable a los servicios</w:t>
      </w:r>
      <w:r w:rsidRPr="005C0F43">
        <w:rPr>
          <w:rFonts w:ascii="Segoe UI" w:eastAsia="Times New Roman" w:hAnsi="Segoe UI" w:cs="Segoe UI"/>
          <w:i/>
          <w:iCs/>
          <w:color w:val="000000"/>
          <w:sz w:val="18"/>
          <w:szCs w:val="18"/>
          <w:lang w:eastAsia="es-CO"/>
        </w:rPr>
        <w:t>.</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xml:space="preserve">En el caso de bienes raíces, además de lo previsto en esta disposición, no se </w:t>
      </w:r>
      <w:proofErr w:type="gramStart"/>
      <w:r w:rsidRPr="005C0F43">
        <w:rPr>
          <w:rFonts w:ascii="Segoe UI" w:eastAsia="Times New Roman" w:hAnsi="Segoe UI" w:cs="Segoe UI"/>
          <w:i/>
          <w:iCs/>
          <w:color w:val="000000"/>
          <w:sz w:val="18"/>
          <w:szCs w:val="18"/>
          <w:lang w:eastAsia="es-CO"/>
        </w:rPr>
        <w:t>aceptara</w:t>
      </w:r>
      <w:proofErr w:type="gramEnd"/>
      <w:r w:rsidRPr="005C0F43">
        <w:rPr>
          <w:rFonts w:ascii="Segoe UI" w:eastAsia="Times New Roman" w:hAnsi="Segoe UI" w:cs="Segoe UI"/>
          <w:i/>
          <w:iCs/>
          <w:color w:val="000000"/>
          <w:sz w:val="18"/>
          <w:szCs w:val="18"/>
          <w:lang w:eastAsia="es-CO"/>
        </w:rPr>
        <w:t xml:space="preserve">´ un precio inferior al costo, al avalúo catastral ni al </w:t>
      </w:r>
      <w:proofErr w:type="spellStart"/>
      <w:r w:rsidRPr="005C0F43">
        <w:rPr>
          <w:rFonts w:ascii="Segoe UI" w:eastAsia="Times New Roman" w:hAnsi="Segoe UI" w:cs="Segoe UI"/>
          <w:i/>
          <w:iCs/>
          <w:color w:val="000000"/>
          <w:sz w:val="18"/>
          <w:szCs w:val="18"/>
          <w:lang w:eastAsia="es-CO"/>
        </w:rPr>
        <w:t>autoavalúo</w:t>
      </w:r>
      <w:proofErr w:type="spellEnd"/>
      <w:r w:rsidRPr="005C0F43">
        <w:rPr>
          <w:rFonts w:ascii="Segoe UI" w:eastAsia="Times New Roman" w:hAnsi="Segoe UI" w:cs="Segoe UI"/>
          <w:i/>
          <w:iCs/>
          <w:color w:val="000000"/>
          <w:sz w:val="18"/>
          <w:szCs w:val="18"/>
          <w:lang w:eastAsia="es-CO"/>
        </w:rPr>
        <w:t>, sin perjuicio de la posibilidad de un valor comercial superior. En los casos en que existan lista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xml:space="preserve">En la escritura pública de enajenación o declaración de construcción las partes deberán </w:t>
      </w:r>
      <w:proofErr w:type="spellStart"/>
      <w:r w:rsidRPr="005C0F43">
        <w:rPr>
          <w:rFonts w:ascii="Segoe UI" w:eastAsia="Times New Roman" w:hAnsi="Segoe UI" w:cs="Segoe UI"/>
          <w:i/>
          <w:iCs/>
          <w:color w:val="000000"/>
          <w:sz w:val="18"/>
          <w:szCs w:val="18"/>
          <w:lang w:eastAsia="es-CO"/>
        </w:rPr>
        <w:t>deflarar</w:t>
      </w:r>
      <w:proofErr w:type="spellEnd"/>
      <w:r w:rsidRPr="005C0F43">
        <w:rPr>
          <w:rFonts w:ascii="Segoe UI" w:eastAsia="Times New Roman" w:hAnsi="Segoe UI" w:cs="Segoe UI"/>
          <w:i/>
          <w:iCs/>
          <w:color w:val="000000"/>
          <w:sz w:val="18"/>
          <w:szCs w:val="18"/>
          <w:lang w:eastAsia="es-CO"/>
        </w:rPr>
        <w:t>, (sic)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lastRenderedPageBreak/>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A partir del 1 de enero de 2019, no serán constitutivos de costo de los bienes raíces aquellas sumas que no se hayan desembolsado a través de entidades financieras.</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Cuando el valor asignado por las partes difiera notoriamente del valor comercial de los bienes o servicios en la fecha de su enajenación o prestación, conforme a lo dispuesto en este artículo, el funcionario que este´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Republica u otras entidades afines. Su aplicación y discusión se hará dentro del mismo proceso.</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u w:val="single"/>
          <w:lang w:eastAsia="es-CO"/>
        </w:rPr>
        <w:t>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w:t>
      </w:r>
      <w:r w:rsidRPr="005C0F43">
        <w:rPr>
          <w:rFonts w:ascii="Segoe UI" w:eastAsia="Times New Roman" w:hAnsi="Segoe UI" w:cs="Segoe UI"/>
          <w:i/>
          <w:iCs/>
          <w:color w:val="000000"/>
          <w:sz w:val="18"/>
          <w:szCs w:val="18"/>
          <w:lang w:eastAsia="es-CO"/>
        </w:rPr>
        <w:t>.</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xml:space="preserve">Sin perjuicio de lo previsto en este artículo, cuando el activo enajenado sean acciones o cuotas de interés social de sociedades o entidades nacionales que no coticen en la </w:t>
      </w:r>
      <w:proofErr w:type="spellStart"/>
      <w:r w:rsidRPr="005C0F43">
        <w:rPr>
          <w:rFonts w:ascii="Segoe UI" w:eastAsia="Times New Roman" w:hAnsi="Segoe UI" w:cs="Segoe UI"/>
          <w:i/>
          <w:iCs/>
          <w:color w:val="000000"/>
          <w:sz w:val="18"/>
          <w:szCs w:val="18"/>
          <w:lang w:eastAsia="es-CO"/>
        </w:rPr>
        <w:t>Bolsa.de</w:t>
      </w:r>
      <w:proofErr w:type="spellEnd"/>
      <w:r w:rsidRPr="005C0F43">
        <w:rPr>
          <w:rFonts w:ascii="Segoe UI" w:eastAsia="Times New Roman" w:hAnsi="Segoe UI" w:cs="Segoe UI"/>
          <w:i/>
          <w:iCs/>
          <w:color w:val="000000"/>
          <w:sz w:val="18"/>
          <w:szCs w:val="18"/>
          <w:lang w:eastAsia="es-CO"/>
        </w:rPr>
        <w:t xml:space="preserv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ind w:left="180"/>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i/>
          <w:iCs/>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7. De lo anterior, es posible resaltar que en el arrendamiento operativo no hay una opción de compra, ya que esta corresponde al arrendamiento financiero (leasing), razón por la cual el arrendatario operativo que procure obtener el bien objeto del contrato deberá adquirirlo en los términos del </w:t>
      </w:r>
      <w:hyperlink r:id="rId10" w:tooltip="Estatuto Tributario CETA" w:history="1">
        <w:r w:rsidRPr="005C0F43">
          <w:rPr>
            <w:rFonts w:ascii="Segoe UI" w:eastAsia="Times New Roman" w:hAnsi="Segoe UI" w:cs="Segoe UI"/>
            <w:color w:val="0089E1"/>
            <w:sz w:val="18"/>
            <w:szCs w:val="18"/>
            <w:u w:val="single"/>
            <w:lang w:eastAsia="es-CO"/>
          </w:rPr>
          <w:t>artículo 90</w:t>
        </w:r>
      </w:hyperlink>
      <w:r w:rsidRPr="005C0F43">
        <w:rPr>
          <w:rFonts w:ascii="Segoe UI" w:eastAsia="Times New Roman" w:hAnsi="Segoe UI" w:cs="Segoe UI"/>
          <w:color w:val="000000"/>
          <w:sz w:val="18"/>
          <w:szCs w:val="18"/>
          <w:lang w:eastAsia="es-CO"/>
        </w:rPr>
        <w:t> del E.T.</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8. Adicionalmente, en los casos que el arrendatario operativo ceda su posición contractual a un tercero para que este ejerza la supuesta opción de compra, este también deberá adquirir el bien objeto del contrato de arrendamiento operativo según lo establecido en el </w:t>
      </w:r>
      <w:hyperlink r:id="rId11" w:tooltip="Estatuto Tributario CETA" w:history="1">
        <w:r w:rsidRPr="005C0F43">
          <w:rPr>
            <w:rFonts w:ascii="Segoe UI" w:eastAsia="Times New Roman" w:hAnsi="Segoe UI" w:cs="Segoe UI"/>
            <w:color w:val="0089E1"/>
            <w:sz w:val="18"/>
            <w:szCs w:val="18"/>
            <w:u w:val="single"/>
            <w:lang w:eastAsia="es-CO"/>
          </w:rPr>
          <w:t>artículo 90</w:t>
        </w:r>
      </w:hyperlink>
      <w:r w:rsidRPr="005C0F43">
        <w:rPr>
          <w:rFonts w:ascii="Segoe UI" w:eastAsia="Times New Roman" w:hAnsi="Segoe UI" w:cs="Segoe UI"/>
          <w:color w:val="000000"/>
          <w:sz w:val="18"/>
          <w:szCs w:val="18"/>
          <w:lang w:eastAsia="es-CO"/>
        </w:rPr>
        <w:t> del E.T.</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bookmarkStart w:id="0" w:name="_GoBack"/>
      <w:bookmarkEnd w:id="0"/>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Atentamente,</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 </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b/>
          <w:bCs/>
          <w:color w:val="000000"/>
          <w:sz w:val="18"/>
          <w:szCs w:val="18"/>
          <w:lang w:eastAsia="es-CO"/>
        </w:rPr>
        <w:t>LORENZO CASTILLO BARVO</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Subdirector de Gestión Normativa y Doctrina (E)</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Dirección de Gestión Jurídica</w:t>
      </w:r>
    </w:p>
    <w:p w:rsidR="005C0F43" w:rsidRPr="005C0F43" w:rsidRDefault="005C0F43" w:rsidP="005C0F43">
      <w:pPr>
        <w:shd w:val="clear" w:color="auto" w:fill="FFFFFF"/>
        <w:spacing w:line="240" w:lineRule="auto"/>
        <w:rPr>
          <w:rFonts w:ascii="Arial" w:eastAsia="Times New Roman" w:hAnsi="Arial" w:cs="Arial"/>
          <w:color w:val="000000"/>
          <w:sz w:val="18"/>
          <w:szCs w:val="18"/>
          <w:lang w:eastAsia="es-CO"/>
        </w:rPr>
      </w:pPr>
      <w:r w:rsidRPr="005C0F43">
        <w:rPr>
          <w:rFonts w:ascii="Segoe UI" w:eastAsia="Times New Roman" w:hAnsi="Segoe UI" w:cs="Segoe UI"/>
          <w:color w:val="000000"/>
          <w:sz w:val="18"/>
          <w:szCs w:val="18"/>
          <w:lang w:eastAsia="es-CO"/>
        </w:rPr>
        <w:t>UAE – 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3"/>
    <w:rsid w:val="005C0F43"/>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46BF3-FE99-4FCD-B115-1D90D787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3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88" TargetMode="External"/><Relationship Id="rId11" Type="http://schemas.openxmlformats.org/officeDocument/2006/relationships/hyperlink" Target="https://www.ceta.org.co/html/vista_de_un_articulo.asp?Norma=134" TargetMode="External"/><Relationship Id="rId5" Type="http://schemas.openxmlformats.org/officeDocument/2006/relationships/hyperlink" Target="https://www.ceta.org.co/html/vista_de_un_articulo.asp?Norma=188" TargetMode="External"/><Relationship Id="rId10" Type="http://schemas.openxmlformats.org/officeDocument/2006/relationships/hyperlink" Target="https://www.ceta.org.co/html/vista_de_un_articulo.asp?Norma=134" TargetMode="External"/><Relationship Id="rId4" Type="http://schemas.openxmlformats.org/officeDocument/2006/relationships/hyperlink" Target="https://www.ceta.org.co/html/vista_de_un_articulo.asp?Norma=134" TargetMode="External"/><Relationship Id="rId9" Type="http://schemas.openxmlformats.org/officeDocument/2006/relationships/hyperlink" Target="https://www.ceta.org.co/html/vista_de_un_articulo.asp?Norma=1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2146</Words>
  <Characters>11804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2019-07-27T01:00:00Z</dcterms:created>
  <dcterms:modified xsi:type="dcterms:W3CDTF">2019-07-27T01:02:00Z</dcterms:modified>
</cp:coreProperties>
</file>